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C0FE" w14:textId="77777777" w:rsidR="00630E14" w:rsidRPr="00630E14" w:rsidRDefault="00630E14" w:rsidP="005259EB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36"/>
          <w:sz w:val="22"/>
          <w:szCs w:val="22"/>
          <w14:ligatures w14:val="none"/>
        </w:rPr>
        <w:t>A Pension Plan Is 100% Funded. Does That Mean Withdrawal Liability Is Gone?</w:t>
      </w:r>
    </w:p>
    <w:p w14:paraId="59F35031" w14:textId="77777777" w:rsidR="005259EB" w:rsidRDefault="005259EB" w:rsidP="005259EB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</w:p>
    <w:p w14:paraId="4B59BCD8" w14:textId="7B75315A" w:rsidR="00630E14" w:rsidRPr="00630E14" w:rsidRDefault="00630E14" w:rsidP="005259EB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Multiemployer pension funding has reached record levels—but contractors need to understand what “100% funded” really means.</w:t>
      </w:r>
    </w:p>
    <w:p w14:paraId="4CAE8BE0" w14:textId="5E9AA60F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There is encouraging news for employers participating in multiemployer pension plans. Milliman's latest study estimates that U.S. multiemployer pension plans were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106% funded in the aggregate as of June 30, 2026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, up from 103% at the end of 2025 and the highest level recorded since Milliman began the study in 2007.</w:t>
      </w:r>
    </w:p>
    <w:p w14:paraId="631FFF25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264188DC" w14:textId="4348212B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That is good news for the overall health of the multiemployer pension system.</w:t>
      </w:r>
      <w:r w:rsidR="00275BE6">
        <w:rPr>
          <w:rFonts w:eastAsia="Times New Roman" w:cs="Times New Roman"/>
          <w:kern w:val="0"/>
          <w:sz w:val="22"/>
          <w:szCs w:val="22"/>
          <w14:ligatures w14:val="none"/>
        </w:rPr>
        <w:t xml:space="preserve"> 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But it can also create a potentially costly misunderstanding for signatory contractors:</w:t>
      </w:r>
    </w:p>
    <w:p w14:paraId="78536F96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3B2C2DA0" w14:textId="77777777" w:rsidR="00630E14" w:rsidRDefault="00630E14" w:rsidP="005259EB">
      <w:pPr>
        <w:spacing w:after="0" w:line="240" w:lineRule="auto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A pension plan reporting that it is 100% funded—or even more than 100% funded—does not automatically mean a contractor has zero withdrawal liability.</w:t>
      </w:r>
    </w:p>
    <w:p w14:paraId="1AE76217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28DF1477" w14:textId="77777777" w:rsidR="00630E14" w:rsidRPr="00630E14" w:rsidRDefault="00630E14" w:rsidP="005259EB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Why Doesn't 100% Funded Automatically Mean Zero Withdrawal Liability?</w:t>
      </w:r>
    </w:p>
    <w:p w14:paraId="1120DBB2" w14:textId="77777777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The confusion comes from the fact that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“funded percentage” and “withdrawal liability” are related, but they are not necessarily calculated the same way.</w:t>
      </w:r>
    </w:p>
    <w:p w14:paraId="6A1D570D" w14:textId="77777777" w:rsidR="005259EB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3498F390" w14:textId="111CD072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Under ERISA, withdrawal liability is generally based on a withdrawing employer's allocated share of a pension plan's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unfunded vested benefits (UVBs)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. P</w:t>
      </w:r>
      <w:r w:rsidR="00E02487">
        <w:rPr>
          <w:rFonts w:eastAsia="Times New Roman" w:cs="Times New Roman"/>
          <w:kern w:val="0"/>
          <w:sz w:val="22"/>
          <w:szCs w:val="22"/>
          <w14:ligatures w14:val="none"/>
        </w:rPr>
        <w:t>ension Benefit Guaranty Corporation (P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BGC</w:t>
      </w:r>
      <w:r w:rsidR="00E02487">
        <w:rPr>
          <w:rFonts w:eastAsia="Times New Roman" w:cs="Times New Roman"/>
          <w:kern w:val="0"/>
          <w:sz w:val="22"/>
          <w:szCs w:val="22"/>
          <w14:ligatures w14:val="none"/>
        </w:rPr>
        <w:t xml:space="preserve">) 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explains that the amount can depend on the valuation date, actuarial assumptions and methods used to value benefits and assets, and the allocation method used by the plan.</w:t>
      </w:r>
    </w:p>
    <w:p w14:paraId="0A6FB30A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6AC4A21E" w14:textId="77777777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That means the funding percentage a contractor sees in a pension fund report, annual funding notice or presentation may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not be the number used to determine the contractor's withdrawal liability exposure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.</w:t>
      </w:r>
    </w:p>
    <w:p w14:paraId="43B6E988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148C4BB1" w14:textId="77777777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For example, a pension fund could report itself as 100% or better funded using its funding assumptions, while a separate withdrawal-liability valuation using different permissible actuarial assumptions could produce unfunded vested benefits. PBGC has long recognized that withdrawal-liability assumptions do not necessarily have to be the same assumptions used for pension funding purposes.</w:t>
      </w:r>
    </w:p>
    <w:p w14:paraId="70BAA07D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65408344" w14:textId="77777777" w:rsidR="00630E14" w:rsidRPr="00630E14" w:rsidRDefault="00630E14" w:rsidP="005259EB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Think of It as Two Different Questions</w:t>
      </w:r>
    </w:p>
    <w:p w14:paraId="76F8A9DB" w14:textId="77777777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Pension funding asks: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br/>
        <w:t>Does the plan have sufficient assets, under the applicable funding assumptions, to meet its obligations?</w:t>
      </w:r>
    </w:p>
    <w:p w14:paraId="3C9934D0" w14:textId="77777777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Withdrawal liability asks: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br/>
        <w:t>If this employer withdraws, does the plan have unfunded vested benefits for withdrawal-liability purposes, and if so, what portion is allocable to this employer?</w:t>
      </w:r>
    </w:p>
    <w:p w14:paraId="5C8BEBF3" w14:textId="77777777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Those questions can produce different answers.</w:t>
      </w:r>
    </w:p>
    <w:p w14:paraId="51E1D826" w14:textId="77777777" w:rsidR="005259EB" w:rsidRDefault="005259EB" w:rsidP="005259EB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</w:p>
    <w:p w14:paraId="7EE7A1B0" w14:textId="42ABBF97" w:rsidR="00630E14" w:rsidRPr="00630E14" w:rsidRDefault="00630E14" w:rsidP="005259EB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Can Withdrawal Liability Actually Reach Zero?</w:t>
      </w:r>
    </w:p>
    <w:p w14:paraId="1732EA08" w14:textId="70CBC724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Yes.</w:t>
      </w:r>
    </w:p>
    <w:p w14:paraId="1748E995" w14:textId="602E10E8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If the pension plan has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no unfunded vested benefits under the valuation and allocation methodology applicable to withdrawal liability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, an employer generally would not have ordinary withdrawal liability based on UVBs at that point. PBGC has specifically recognized that where plan 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lastRenderedPageBreak/>
        <w:t xml:space="preserve">assets exceed vested liabilities for these </w:t>
      </w:r>
      <w:proofErr w:type="gramStart"/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purposes,</w:t>
      </w:r>
      <w:proofErr w:type="gramEnd"/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 there are no unfunded vested benefits to allocate.</w:t>
      </w:r>
    </w:p>
    <w:p w14:paraId="5C101AD1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6335C734" w14:textId="77777777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But contractors should not substitute a plan's headline funded percentage for that determination.</w:t>
      </w:r>
    </w:p>
    <w:p w14:paraId="2127FA12" w14:textId="77777777" w:rsidR="00630E14" w:rsidRDefault="00630E14" w:rsidP="005259EB">
      <w:pPr>
        <w:spacing w:after="0" w:line="240" w:lineRule="auto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100% funded on a funding report does not necessarily equal $0 withdrawal liability.</w:t>
      </w:r>
    </w:p>
    <w:p w14:paraId="1D5F57FE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15B158C3" w14:textId="77777777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The number a contractor needs is its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current estimated withdrawal liability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, calculated by the fund under the applicable withdrawal-liability rules.</w:t>
      </w:r>
    </w:p>
    <w:p w14:paraId="667C858D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4FA6EA9C" w14:textId="77777777" w:rsidR="00630E14" w:rsidRPr="00630E14" w:rsidRDefault="00630E14" w:rsidP="005259EB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Timing Matters Too</w:t>
      </w:r>
    </w:p>
    <w:p w14:paraId="51833E3C" w14:textId="77777777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Withdrawal liability generally looks to the plan's unfunded vested benefits as of a statutory measurement date associated with the withdrawal. As a result, today's improved investment performance or current funded percentage may not immediately translate into the number applicable to a contractor's withdrawal.</w:t>
      </w:r>
    </w:p>
    <w:p w14:paraId="25FD2CB0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32F75C4A" w14:textId="77777777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There is another important recent development. In May 2026, the U.S. Supreme Court unanimously held in </w:t>
      </w:r>
      <w:r w:rsidRPr="00630E14"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M &amp; K Employee Solutions, LLC v. Trustees of the IAM National Pension Fund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 that ERISA does not require the actuarial assumptions underlying a withdrawal-liability calculation to have been selected on or before the statutory measurement date. The decision reinforces why contractors should not attempt to calculate their exposure from a published funding percentage alone.</w:t>
      </w:r>
    </w:p>
    <w:p w14:paraId="5AC534BE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569C4A37" w14:textId="77777777" w:rsidR="00630E14" w:rsidRPr="00630E14" w:rsidRDefault="00630E14" w:rsidP="005259EB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Construction Contractors Have Another Important Rule</w:t>
      </w:r>
    </w:p>
    <w:p w14:paraId="2C24C423" w14:textId="5C5F991B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Construction employers also have special withdrawal rules under ERISA.</w:t>
      </w:r>
      <w:r w:rsidR="00122209">
        <w:rPr>
          <w:rFonts w:eastAsia="Times New Roman" w:cs="Times New Roman"/>
          <w:kern w:val="0"/>
          <w:sz w:val="22"/>
          <w:szCs w:val="22"/>
          <w14:ligatures w14:val="none"/>
        </w:rPr>
        <w:t xml:space="preserve"> 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For qualifying building and construction industry employers, simply ending a contribution obligation does not necessarily create a complete withdrawal in the same manner as it would for employers in many other industries. Special rules determine when a construction employer actually experiences a withdrawal.</w:t>
      </w:r>
    </w:p>
    <w:p w14:paraId="36F16575" w14:textId="77777777" w:rsidR="00122209" w:rsidRDefault="00122209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19853122" w14:textId="5A818C54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That makes the analysis particularly important for FCA contractors considering:</w:t>
      </w:r>
    </w:p>
    <w:p w14:paraId="25BAA498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Closing or selling a business</w:t>
      </w:r>
    </w:p>
    <w:p w14:paraId="04491A63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Leaving a bargaining relationship</w:t>
      </w:r>
    </w:p>
    <w:p w14:paraId="0386002A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Changing corporate structure</w:t>
      </w:r>
    </w:p>
    <w:p w14:paraId="46C10793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Moving work between related companies</w:t>
      </w:r>
    </w:p>
    <w:p w14:paraId="764C74B5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Subcontracting work previously performed by bargaining-unit employees</w:t>
      </w:r>
    </w:p>
    <w:p w14:paraId="6E262994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Continuing similar work nonunion</w:t>
      </w:r>
    </w:p>
    <w:p w14:paraId="49160D46" w14:textId="77777777" w:rsidR="00630E14" w:rsidRPr="00630E14" w:rsidRDefault="00630E14" w:rsidP="005259EB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Reducing operations or contributions significantly</w:t>
      </w:r>
    </w:p>
    <w:p w14:paraId="2BB240B2" w14:textId="77777777" w:rsidR="00122209" w:rsidRDefault="00122209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6E080FAB" w14:textId="65CE0567" w:rsid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>The facts surrounding the transaction or business decision can be just as important as the pension fund's funded percentage.</w:t>
      </w:r>
    </w:p>
    <w:p w14:paraId="442087C0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464DF9C6" w14:textId="77777777" w:rsidR="00630E14" w:rsidRPr="00630E14" w:rsidRDefault="00630E14" w:rsidP="005259EB">
      <w:pPr>
        <w:spacing w:after="0" w:line="240" w:lineRule="auto"/>
        <w:outlineLvl w:val="1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What Should Contractors Do?</w:t>
      </w:r>
    </w:p>
    <w:p w14:paraId="3873F513" w14:textId="77777777" w:rsidR="00630E14" w:rsidRPr="00630E14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The improvement in pension funding is encouraging, and a healthier pension fund can ultimately reduce withdrawal-liability exposure. But contractors should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never assume that a fund reaching 100% funded means their withdrawal liability has disappeared.</w:t>
      </w:r>
    </w:p>
    <w:p w14:paraId="7E66169A" w14:textId="77777777" w:rsidR="00122209" w:rsidRDefault="00122209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28DE82C4" w14:textId="77777777" w:rsidR="00122209" w:rsidRDefault="00630E14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Before making a significant business decision, request a </w:t>
      </w:r>
      <w:r w:rsidRPr="00630E14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current withdrawal-liability estimate from the pension fund</w:t>
      </w:r>
      <w:r w:rsidRPr="00630E14">
        <w:rPr>
          <w:rFonts w:eastAsia="Times New Roman" w:cs="Times New Roman"/>
          <w:kern w:val="0"/>
          <w:sz w:val="22"/>
          <w:szCs w:val="22"/>
          <w14:ligatures w14:val="none"/>
        </w:rPr>
        <w:t xml:space="preserve"> and determine:</w:t>
      </w:r>
    </w:p>
    <w:p w14:paraId="7E1B72DB" w14:textId="0DD91B5E" w:rsidR="00630E14" w:rsidRPr="00361D8E" w:rsidRDefault="00630E14" w:rsidP="00361D8E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 w:rsidRPr="00361D8E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lastRenderedPageBreak/>
        <w:t>What is our estimated withdrawal liability today?</w:t>
      </w:r>
      <w:r w:rsidRPr="00361D8E">
        <w:rPr>
          <w:rFonts w:eastAsia="Times New Roman" w:cs="Times New Roman"/>
          <w:kern w:val="0"/>
          <w:sz w:val="22"/>
          <w:szCs w:val="22"/>
          <w14:ligatures w14:val="none"/>
        </w:rPr>
        <w:br/>
        <w:t>Do not rely solely on the fund's published funded percentage.</w:t>
      </w:r>
    </w:p>
    <w:p w14:paraId="6A69387E" w14:textId="77777777" w:rsidR="00361D8E" w:rsidRDefault="00630E14" w:rsidP="005259E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61D8E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What assumptions and valuation date are being used?</w:t>
      </w:r>
      <w:r w:rsidRPr="00361D8E">
        <w:rPr>
          <w:rFonts w:eastAsia="Times New Roman" w:cs="Times New Roman"/>
          <w:kern w:val="0"/>
          <w:sz w:val="22"/>
          <w:szCs w:val="22"/>
          <w14:ligatures w14:val="none"/>
        </w:rPr>
        <w:br/>
        <w:t>Understand whether the number being discussed is a funding valuation or a withdrawal-liability valuation.</w:t>
      </w:r>
    </w:p>
    <w:p w14:paraId="5F57C354" w14:textId="77777777" w:rsidR="00361D8E" w:rsidRDefault="00630E14" w:rsidP="005259E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61D8E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Does the construction-industry exception apply to our situation?</w:t>
      </w:r>
      <w:r w:rsidRPr="00361D8E">
        <w:rPr>
          <w:rFonts w:eastAsia="Times New Roman" w:cs="Times New Roman"/>
          <w:kern w:val="0"/>
          <w:sz w:val="22"/>
          <w:szCs w:val="22"/>
          <w14:ligatures w14:val="none"/>
        </w:rPr>
        <w:br/>
        <w:t>The answer can depend heavily on what the contractor intends to do after contributions cease.</w:t>
      </w:r>
    </w:p>
    <w:p w14:paraId="456DEC92" w14:textId="0FD00CC5" w:rsidR="00630E14" w:rsidRPr="00361D8E" w:rsidRDefault="00630E14" w:rsidP="005259EB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 w:rsidRPr="00361D8E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Could the transaction itself trigger withdrawal liability?</w:t>
      </w:r>
      <w:r w:rsidRPr="00361D8E">
        <w:rPr>
          <w:rFonts w:eastAsia="Times New Roman" w:cs="Times New Roman"/>
          <w:kern w:val="0"/>
          <w:sz w:val="22"/>
          <w:szCs w:val="22"/>
          <w14:ligatures w14:val="none"/>
        </w:rPr>
        <w:br/>
        <w:t>A sale, closure, restructuring or change in operations should be reviewed before—not after—it occurs.</w:t>
      </w:r>
    </w:p>
    <w:p w14:paraId="6019FFA6" w14:textId="77777777" w:rsidR="005259EB" w:rsidRPr="00630E14" w:rsidRDefault="005259EB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</w:p>
    <w:p w14:paraId="0B31D54F" w14:textId="412D3F05" w:rsidR="0073749D" w:rsidRDefault="0073749D" w:rsidP="005259EB">
      <w:pPr>
        <w:spacing w:after="0" w:line="240" w:lineRule="auto"/>
        <w:rPr>
          <w:rFonts w:eastAsia="Times New Roman" w:cs="Times New Roman"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i/>
          <w:iCs/>
          <w:kern w:val="0"/>
          <w:sz w:val="22"/>
          <w:szCs w:val="22"/>
          <w14:ligatures w14:val="none"/>
        </w:rPr>
        <w:t>This information is intended for general educational purposes and is not legal, actuarial or financial advice. Withdrawal-liability calculations and construction-industry exceptions are highly fact-and plan-specific. Contractors considering a sale, restructuring, cessation of contributions or other significant change should consult qualified ERISA counsel and appropriate pension professionals.</w:t>
      </w:r>
    </w:p>
    <w:p w14:paraId="1AEFC569" w14:textId="77777777" w:rsidR="00630E14" w:rsidRDefault="00630E14"/>
    <w:p w14:paraId="136FB9D1" w14:textId="77777777" w:rsidR="005259EB" w:rsidRDefault="005259EB"/>
    <w:sectPr w:rsidR="00525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D62C4"/>
    <w:multiLevelType w:val="multilevel"/>
    <w:tmpl w:val="AFD61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64BE6"/>
    <w:multiLevelType w:val="hybridMultilevel"/>
    <w:tmpl w:val="54383A56"/>
    <w:lvl w:ilvl="0" w:tplc="4AE6D0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F23BA"/>
    <w:multiLevelType w:val="hybridMultilevel"/>
    <w:tmpl w:val="EFC02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405899">
    <w:abstractNumId w:val="0"/>
  </w:num>
  <w:num w:numId="2" w16cid:durableId="2060352006">
    <w:abstractNumId w:val="2"/>
  </w:num>
  <w:num w:numId="3" w16cid:durableId="950547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14"/>
    <w:rsid w:val="000A32E9"/>
    <w:rsid w:val="00122209"/>
    <w:rsid w:val="00275BE6"/>
    <w:rsid w:val="002C3169"/>
    <w:rsid w:val="00361D8E"/>
    <w:rsid w:val="005259EB"/>
    <w:rsid w:val="00630E14"/>
    <w:rsid w:val="0073749D"/>
    <w:rsid w:val="00BF14AD"/>
    <w:rsid w:val="00C06B25"/>
    <w:rsid w:val="00E0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E9918"/>
  <w15:chartTrackingRefBased/>
  <w15:docId w15:val="{B35AD2F4-123C-4D34-AF4C-9033B3B5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Darkangelo</dc:creator>
  <cp:keywords/>
  <dc:description/>
  <cp:lastModifiedBy>Darlene Shonder</cp:lastModifiedBy>
  <cp:revision>4</cp:revision>
  <dcterms:created xsi:type="dcterms:W3CDTF">2026-08-27T14:38:00Z</dcterms:created>
  <dcterms:modified xsi:type="dcterms:W3CDTF">2026-08-27T15:14:00Z</dcterms:modified>
</cp:coreProperties>
</file>